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ADE68">
      <w:pPr>
        <w:pStyle w:val="15"/>
        <w:widowControl/>
        <w:rPr>
          <w:rFonts w:hint="eastAsia" w:eastAsia="方正小标宋简体"/>
          <w:lang w:eastAsia="zh-CN"/>
        </w:rPr>
      </w:pPr>
      <mc:AlternateContent>
        <mc:Choice Requires="wpsCustomData">
          <wpsCustomData:docfieldStart id="0" docfieldname="标题_1" hidden="0" print="1" readonly="0" index="9"/>
        </mc:Choice>
      </mc:AlternateContent>
      <w:r>
        <w:t>南岔县人民政府</w:t>
      </w:r>
      <w:r>
        <w:br w:type="textWrapping"/>
      </w:r>
      <w:r>
        <w:t>关于公布南岔县集体建设用地</w:t>
      </w:r>
      <w:r>
        <w:br w:type="textWrapping"/>
      </w:r>
      <w:r>
        <w:t>基准地价的通</w:t>
      </w:r>
      <w:r>
        <w:rPr>
          <w:rFonts w:hint="eastAsia"/>
          <w:lang w:val="en-US" w:eastAsia="zh-CN"/>
        </w:rPr>
        <w:t>知（征求意见稿）</w:t>
      </w:r>
      <mc:AlternateContent>
        <mc:Choice Requires="wpsCustomData">
          <wpsCustomData:docfieldEnd id="0"/>
        </mc:Choice>
      </mc:AlternateContent>
    </w:p>
    <w:p w14:paraId="0A94DF52">
      <w:pPr>
        <w:pStyle w:val="11"/>
        <w:bidi w:val="0"/>
        <w:spacing w:beforeAutospacing="0" w:afterAutospacing="0" w:line="300" w:lineRule="exact"/>
      </w:pPr>
    </w:p>
    <w:p w14:paraId="615030AF">
      <w:pPr>
        <w:pStyle w:val="24"/>
        <w:widowControl/>
        <w:rPr>
          <w:rFonts w:ascii="Times New Roman" w:hAnsi="Times New Roman" w:eastAsia="仿宋_GB2312" w:cs="仿宋_GB2312"/>
          <w:sz w:val="32"/>
          <w:szCs w:val="32"/>
        </w:rPr>
      </w:pPr>
      <mc:AlternateContent>
        <mc:Choice Requires="wpsCustomData">
          <wpsCustomData:docfieldStart id="1" docfieldname="主送机关_1" hidden="0" print="1" readonly="0" index="10"/>
        </mc:Choice>
      </mc:AlternateContent>
      <w:r>
        <w:rPr>
          <w:rFonts w:ascii="Times New Roman" w:hAnsi="Times New Roman" w:eastAsia="仿宋_GB2312" w:cs="仿宋_GB2312"/>
          <w:sz w:val="32"/>
          <w:szCs w:val="32"/>
        </w:rPr>
        <w:t>各镇人民政府</w:t>
      </w:r>
      <mc:AlternateContent>
        <mc:Choice Requires="wpsCustomData">
          <wpsCustomData:docfieldEnd id="1"/>
        </mc:Choice>
      </mc:AlternateContent>
      <w:r>
        <w:rPr>
          <w:rFonts w:ascii="Times New Roman" w:hAnsi="Times New Roman" w:eastAsia="仿宋_GB2312" w:cs="仿宋_GB2312"/>
          <w:sz w:val="32"/>
          <w:szCs w:val="32"/>
        </w:rPr>
        <w:t>，</w:t>
      </w:r>
      <mc:AlternateContent>
        <mc:Choice Requires="wpsCustomData">
          <wpsCustomData:docfieldStart id="2" docfieldname="主送机关_2" hidden="0" print="1" readonly="0" index="4"/>
        </mc:Choice>
      </mc:AlternateContent>
      <w:r>
        <w:rPr>
          <w:rFonts w:ascii="Times New Roman" w:hAnsi="Times New Roman" w:eastAsia="仿宋_GB2312" w:cs="仿宋_GB2312"/>
          <w:sz w:val="32"/>
          <w:szCs w:val="32"/>
        </w:rPr>
        <w:t>各有关单位</w:t>
      </w:r>
      <mc:AlternateContent>
        <mc:Choice Requires="wpsCustomData">
          <wpsCustomData:docfieldEnd id="2"/>
        </mc:Choice>
      </mc:AlternateContent>
      <w:r>
        <w:rPr>
          <w:rFonts w:ascii="Times New Roman" w:hAnsi="Times New Roman" w:eastAsia="仿宋_GB2312" w:cs="仿宋_GB2312"/>
          <w:sz w:val="32"/>
          <w:szCs w:val="32"/>
        </w:rPr>
        <w:t>：</w:t>
      </w:r>
    </w:p>
    <w:p w14:paraId="205CA614">
      <w:pPr>
        <w:pStyle w:val="11"/>
        <w:widowControl/>
        <w:rPr>
          <w:rFonts w:ascii="Times New Roman" w:hAnsi="Times New Roman" w:eastAsia="仿宋_GB2312" w:cs="仿宋_GB2312"/>
          <w:sz w:val="32"/>
          <w:szCs w:val="32"/>
        </w:rPr>
      </w:pPr>
      <w:bookmarkStart w:id="0" w:name="_GoBack"/>
      <w:r>
        <w:rPr>
          <w:rFonts w:ascii="Times New Roman" w:hAnsi="Times New Roman" w:eastAsia="仿宋_GB2312" w:cs="仿宋_GB2312"/>
          <w:sz w:val="32"/>
          <w:szCs w:val="32"/>
        </w:rPr>
        <w:t>根据《国土资源部办公厅关于加强公示地价体系建设和管理有关问题的通知》（国土资厅发〔2017〕27号）和《中共黑龙江省委、黑龙江省人民政府印发贯彻落实（中共中央、国务院关于构建更加完善的要素市场化配置体制机制的意见＞实施方案的通知》（黑发〔2020〕－19号）精神，为进一步建立健全我县地价管理体系，促进城乡统一土地市场建设，结合我县经济社会发展实际，经报伊春市自然资源局审核同意，对我县集体建设用地基准地价予以公布。现将有关事宜通知如下：</w:t>
      </w:r>
    </w:p>
    <w:p w14:paraId="5E5BD438">
      <w:pPr>
        <w:pStyle w:val="11"/>
        <w:bidi w:val="0"/>
        <w:rPr>
          <w:rFonts w:hint="eastAsia" w:ascii="仿宋_GB2312" w:hAnsi="仿宋_GB2312" w:eastAsia="仿宋_GB2312" w:cs="仿宋_GB2312"/>
          <w:b w:val="0"/>
          <w:sz w:val="32"/>
          <w:szCs w:val="32"/>
        </w:rPr>
      </w:pPr>
      <w:r>
        <w:rPr>
          <w:rFonts w:hint="eastAsia" w:cs="仿宋_GB2312"/>
          <w:sz w:val="32"/>
          <w:szCs w:val="32"/>
          <w:lang w:eastAsia="zh-CN"/>
        </w:rPr>
        <w:t>一、</w:t>
      </w:r>
      <w:r>
        <w:rPr>
          <w:rFonts w:ascii="Times New Roman" w:hAnsi="Times New Roman" w:eastAsia="仿宋_GB2312" w:cs="仿宋_GB2312"/>
          <w:sz w:val="32"/>
          <w:szCs w:val="32"/>
        </w:rPr>
        <w:t>本次公布的南岔县集体建设用地基准地价（以下简称集体基准地价）的范围为南岔县行政区范围内的集体建设用地，南岔县</w:t>
      </w:r>
      <w:r>
        <w:rPr>
          <w:rFonts w:hint="eastAsia" w:cs="仿宋_GB2312"/>
          <w:sz w:val="32"/>
          <w:szCs w:val="32"/>
          <w:lang w:val="en-US" w:eastAsia="zh-CN"/>
        </w:rPr>
        <w:t xml:space="preserve"> </w:t>
      </w:r>
      <w:r>
        <w:rPr>
          <w:rFonts w:ascii="Times New Roman" w:hAnsi="Times New Roman" w:eastAsia="仿宋_GB2312" w:cs="仿宋_GB2312"/>
          <w:sz w:val="32"/>
          <w:szCs w:val="32"/>
        </w:rPr>
        <w:t>下辖4个镇（南岔镇、晨明镇、梧桐镇、浩良河镇</w:t>
      </w:r>
      <w:bookmarkEnd w:id="0"/>
      <w:r>
        <w:rPr>
          <w:rFonts w:ascii="Times New Roman" w:hAnsi="Times New Roman" w:eastAsia="仿宋_GB2312" w:cs="仿宋_GB2312"/>
          <w:sz w:val="32"/>
          <w:szCs w:val="32"/>
        </w:rPr>
        <w:t>）所辖行政区范围内的集体建设用地。</w:t>
      </w:r>
    </w:p>
    <w:p w14:paraId="3B8F4C18">
      <w:pPr>
        <w:pStyle w:val="11"/>
        <w:widowControl/>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二、</w:t>
      </w:r>
      <w:r>
        <w:rPr>
          <w:rFonts w:ascii="Times New Roman" w:hAnsi="Times New Roman" w:eastAsia="仿宋_GB2312" w:cs="仿宋_GB2312"/>
          <w:sz w:val="32"/>
          <w:szCs w:val="32"/>
        </w:rPr>
        <w:t>本次公布的集体建设用地基准地价，估价基准日为2023年1月1日，具体包含商服、宅基地、工业用地三种用途的基准地价。在基准地价应用中，要按照《南岔县集体建设用地定级与基准地价评估技术报告》的具体内容，准确把握价格内涵和不同用途所适用的基准地价类别。参照《南岔县集体建设用地级别与基准地价图》对土地级别界线进行确定，最终确定的土地级别以各用途土地级别界线文字描述对应的基准地价图所载级别范围为准。</w:t>
      </w:r>
    </w:p>
    <w:p w14:paraId="63EBE90C">
      <w:pPr>
        <w:pStyle w:val="11"/>
        <w:widowControl/>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三、</w:t>
      </w:r>
      <w:r>
        <w:rPr>
          <w:rFonts w:ascii="Times New Roman" w:hAnsi="Times New Roman" w:eastAsia="仿宋_GB2312" w:cs="仿宋_GB2312"/>
          <w:sz w:val="32"/>
          <w:szCs w:val="32"/>
        </w:rPr>
        <w:t>本次公布的商服、工业用地两种用途的集体基准地价是在土地平稳正常情况、公开竞争市场条件下的出让土地使用权平均价格；宅基地基准地价是在土地平稳正常情况、特定市场条件下的宅基地使用权平均价格，其中特定市场是指符合政策的集体组织内部流转或有偿退出下形成的市场。本次集体基准地价测算成果公布的基准地价、土地级别范围、其他基准地价测算成果等资料，可向南岔县自然资源局查询。</w:t>
      </w:r>
    </w:p>
    <w:p w14:paraId="1C7EE96A">
      <w:pPr>
        <w:pStyle w:val="11"/>
        <w:widowControl/>
        <w:numPr>
          <w:ilvl w:val="0"/>
          <w:numId w:val="0"/>
        </w:numPr>
        <w:ind w:left="0" w:leftChars="0" w:firstLine="616"/>
        <w:rPr>
          <w:rFonts w:ascii="Times New Roman" w:hAnsi="Times New Roman" w:eastAsia="仿宋_GB2312" w:cs="仿宋_GB2312"/>
          <w:sz w:val="32"/>
          <w:szCs w:val="32"/>
        </w:rPr>
      </w:pPr>
      <w:r>
        <w:rPr>
          <w:rFonts w:hint="eastAsia" w:cs="仿宋_GB2312"/>
          <w:sz w:val="32"/>
          <w:szCs w:val="32"/>
          <w:lang w:eastAsia="zh-CN"/>
        </w:rPr>
        <w:t>四、</w:t>
      </w:r>
      <w:r>
        <w:rPr>
          <w:rFonts w:ascii="Times New Roman" w:hAnsi="Times New Roman" w:eastAsia="仿宋_GB2312" w:cs="仿宋_GB2312"/>
          <w:sz w:val="32"/>
          <w:szCs w:val="32"/>
        </w:rPr>
        <w:t>本通知公布的南岔县集体建设用地基准地价成果自</w:t>
      </w:r>
      <w:r>
        <w:rPr>
          <w:rFonts w:hint="eastAsia" w:cs="仿宋_GB2312"/>
          <w:sz w:val="32"/>
          <w:szCs w:val="32"/>
          <w:lang w:val="en-US" w:eastAsia="zh-CN"/>
        </w:rPr>
        <w:t>发布之日</w:t>
      </w:r>
      <w:r>
        <w:rPr>
          <w:rFonts w:ascii="Times New Roman" w:hAnsi="Times New Roman" w:eastAsia="仿宋_GB2312" w:cs="仿宋_GB2312"/>
          <w:sz w:val="32"/>
          <w:szCs w:val="32"/>
        </w:rPr>
        <w:t>起执行。</w:t>
      </w:r>
    </w:p>
    <w:p w14:paraId="3FBA0412">
      <w:pPr>
        <w:pStyle w:val="11"/>
        <w:bidi w:val="0"/>
      </w:pPr>
    </w:p>
    <w:p w14:paraId="0B2EAAFC">
      <w:pPr>
        <w:pStyle w:val="11"/>
        <w:widowControl/>
        <w:ind w:left="1916" w:hanging="1300" w:firstLineChars="0"/>
        <w:rPr>
          <w:rFonts w:ascii="Times New Roman" w:hAnsi="Times New Roman" w:eastAsia="仿宋_GB2312" w:cs="仿宋_GB2312"/>
          <w:sz w:val="32"/>
          <w:szCs w:val="32"/>
        </w:rPr>
      </w:pPr>
      <mc:AlternateContent>
        <mc:Choice Requires="wpsCustomData">
          <wpsCustomData:docfieldStart id="3" docfieldname="附件说明_1" hidden="0" print="1" readonly="0" index="11"/>
        </mc:Choice>
      </mc:AlternateContent>
      <w:r>
        <w:rPr>
          <w:rFonts w:ascii="Times New Roman" w:hAnsi="Times New Roman" w:eastAsia="仿宋_GB2312" w:cs="仿宋_GB2312"/>
          <w:sz w:val="32"/>
          <w:szCs w:val="32"/>
        </w:rPr>
        <w:t>附件：商业、宅基地、工业用地基准地价表</w:t>
      </w:r>
    </w:p>
    <mc:AlternateContent>
      <mc:Choice Requires="wpsCustomData">
        <wpsCustomData:docfieldEnd id="3"/>
      </mc:Choice>
    </mc:AlternateContent>
    <w:p w14:paraId="66438B61">
      <w:pPr>
        <w:rPr>
          <w:rFonts w:hint="default"/>
          <w:spacing w:val="28"/>
          <w:lang w:val="en-US" w:eastAsia="zh-CN"/>
        </w:rPr>
      </w:pPr>
      <w:r>
        <w:rPr>
          <w:rFonts w:hint="default"/>
          <w:spacing w:val="28"/>
          <w:lang w:val="en-US" w:eastAsia="zh-CN"/>
        </w:rPr>
        <w:br w:type="page"/>
      </w:r>
    </w:p>
    <w:p w14:paraId="4161B9E6">
      <w:pPr>
        <w:pStyle w:val="25"/>
        <w:widowControl/>
      </w:pPr>
      <mc:AlternateContent>
        <mc:Choice Requires="wpsCustomData">
          <wpsCustomData:docfieldStart id="4" docfieldname="附件_1" hidden="0" print="1" readonly="0" index="1"/>
        </mc:Choice>
      </mc:AlternateContent>
      <w:r>
        <w:t>附件</w:t>
      </w:r>
      <mc:AlternateContent>
        <mc:Choice Requires="wpsCustomData">
          <wpsCustomData:docfieldEnd id="4"/>
        </mc:Choice>
      </mc:AlternateContent>
    </w:p>
    <w:p w14:paraId="78299460">
      <w:pPr>
        <w:pStyle w:val="11"/>
        <w:bidi w:val="0"/>
      </w:pPr>
    </w:p>
    <w:p w14:paraId="727D7197">
      <w:pPr>
        <w:pStyle w:val="15"/>
        <w:widowControl/>
      </w:pPr>
      <w:r>
        <w:t>南岔县集体建设用地</w:t>
      </w:r>
    </w:p>
    <w:p w14:paraId="6B05F39C">
      <w:pPr>
        <w:pStyle w:val="15"/>
        <w:widowControl/>
      </w:pPr>
      <w:r>
        <w:t>商业、宅基地、工业用地基准地价表</w:t>
      </w:r>
    </w:p>
    <w:p w14:paraId="2DD880AD">
      <w:pPr>
        <w:spacing w:before="78"/>
      </w:pPr>
    </w:p>
    <w:tbl>
      <w:tblPr>
        <w:tblStyle w:val="16"/>
        <w:tblW w:w="5000" w:type="pct"/>
        <w:tblInd w:w="0" w:type="dxa"/>
        <w:tblLayout w:type="autofit"/>
        <w:tblCellMar>
          <w:top w:w="0" w:type="dxa"/>
          <w:left w:w="0" w:type="dxa"/>
          <w:bottom w:w="0" w:type="dxa"/>
          <w:right w:w="0" w:type="dxa"/>
        </w:tblCellMar>
      </w:tblPr>
      <w:tblGrid>
        <w:gridCol w:w="1462"/>
        <w:gridCol w:w="2763"/>
        <w:gridCol w:w="2210"/>
        <w:gridCol w:w="2426"/>
      </w:tblGrid>
      <w:tr w14:paraId="461A3F4E">
        <w:tblPrEx>
          <w:tblCellMar>
            <w:top w:w="0" w:type="dxa"/>
            <w:left w:w="0" w:type="dxa"/>
            <w:bottom w:w="0" w:type="dxa"/>
            <w:right w:w="0" w:type="dxa"/>
          </w:tblCellMar>
        </w:tblPrEx>
        <w:trPr>
          <w:trHeight w:val="518" w:hRule="atLeast"/>
        </w:trPr>
        <w:tc>
          <w:tcPr>
            <w:tcW w:w="5000" w:type="pct"/>
            <w:gridSpan w:val="4"/>
            <w:tcBorders>
              <w:top w:val="single" w:color="000000" w:sz="4" w:space="0"/>
              <w:left w:val="single" w:color="000000" w:sz="4" w:space="0"/>
              <w:bottom w:val="single" w:color="000000" w:sz="4" w:space="0"/>
              <w:right w:val="single" w:color="auto" w:sz="4" w:space="0"/>
            </w:tcBorders>
            <w:noWrap/>
            <w:tcMar>
              <w:top w:w="8" w:type="dxa"/>
              <w:left w:w="8" w:type="dxa"/>
              <w:right w:w="8" w:type="dxa"/>
            </w:tcMar>
            <w:vAlign w:val="bottom"/>
          </w:tcPr>
          <w:p w14:paraId="09C93DB5">
            <w:pPr>
              <w:pStyle w:val="23"/>
              <w:bidi w:val="0"/>
              <w:jc w:val="right"/>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元</w:t>
            </w:r>
            <w:r>
              <w:rPr>
                <w:rFonts w:hint="eastAsia" w:cs="Times New Roman"/>
                <w:sz w:val="30"/>
                <w:szCs w:val="30"/>
                <w:lang w:val="en-US" w:eastAsia="zh-CN"/>
              </w:rPr>
              <w:t>／</w:t>
            </w:r>
            <w:r>
              <w:rPr>
                <w:rFonts w:hint="default" w:ascii="Times New Roman" w:hAnsi="Times New Roman" w:cs="Times New Roman"/>
                <w:sz w:val="30"/>
                <w:szCs w:val="30"/>
                <w:lang w:val="en-US" w:eastAsia="zh-CN"/>
              </w:rPr>
              <w:t>平方米</w:t>
            </w:r>
          </w:p>
        </w:tc>
      </w:tr>
      <w:tr w14:paraId="25D0F5F6">
        <w:tblPrEx>
          <w:tblCellMar>
            <w:top w:w="0" w:type="dxa"/>
            <w:left w:w="0" w:type="dxa"/>
            <w:bottom w:w="0" w:type="dxa"/>
            <w:right w:w="0" w:type="dxa"/>
          </w:tblCellMar>
        </w:tblPrEx>
        <w:trPr>
          <w:trHeight w:val="907" w:hRule="atLeast"/>
        </w:trPr>
        <w:tc>
          <w:tcPr>
            <w:tcW w:w="825"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2EBD38B2">
            <w:pPr>
              <w:pStyle w:val="23"/>
              <w:bidi w:val="0"/>
              <w:rPr>
                <w:rFonts w:hint="default" w:ascii="Times New Roman" w:hAnsi="Times New Roman" w:cs="Times New Roman"/>
                <w:sz w:val="30"/>
                <w:szCs w:val="30"/>
              </w:rPr>
            </w:pPr>
            <w:r>
              <w:rPr>
                <w:rFonts w:hint="default" w:ascii="Times New Roman" w:hAnsi="Times New Roman" w:cs="Times New Roman"/>
                <w:sz w:val="30"/>
                <w:szCs w:val="30"/>
                <w:lang w:val="en-US" w:eastAsia="zh-CN"/>
              </w:rPr>
              <w:t>土地级别</w:t>
            </w:r>
          </w:p>
        </w:tc>
        <w:tc>
          <w:tcPr>
            <w:tcW w:w="1559"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1FEB56BF">
            <w:pPr>
              <w:pStyle w:val="23"/>
              <w:bidi w:val="0"/>
              <w:rPr>
                <w:rFonts w:hint="default" w:ascii="Times New Roman" w:hAnsi="Times New Roman" w:cs="Times New Roman"/>
                <w:sz w:val="30"/>
                <w:szCs w:val="30"/>
              </w:rPr>
            </w:pPr>
            <w:r>
              <w:rPr>
                <w:rFonts w:hint="default" w:ascii="Times New Roman" w:hAnsi="Times New Roman" w:cs="Times New Roman"/>
                <w:sz w:val="30"/>
                <w:szCs w:val="30"/>
                <w:lang w:val="en-US" w:eastAsia="zh-CN"/>
              </w:rPr>
              <w:t>商服用地基准地价</w:t>
            </w:r>
          </w:p>
        </w:tc>
        <w:tc>
          <w:tcPr>
            <w:tcW w:w="1247"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05563048">
            <w:pPr>
              <w:pStyle w:val="23"/>
              <w:bidi w:val="0"/>
              <w:rPr>
                <w:rFonts w:hint="default" w:ascii="Times New Roman" w:hAnsi="Times New Roman" w:cs="Times New Roman"/>
                <w:sz w:val="30"/>
                <w:szCs w:val="30"/>
              </w:rPr>
            </w:pPr>
            <w:r>
              <w:rPr>
                <w:rFonts w:hint="default" w:ascii="Times New Roman" w:hAnsi="Times New Roman" w:cs="Times New Roman"/>
                <w:sz w:val="30"/>
                <w:szCs w:val="30"/>
                <w:lang w:val="en-US" w:eastAsia="zh-CN"/>
              </w:rPr>
              <w:t>宅基地基准地价</w:t>
            </w:r>
          </w:p>
        </w:tc>
        <w:tc>
          <w:tcPr>
            <w:tcW w:w="1367"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6DCF8AF3">
            <w:pPr>
              <w:pStyle w:val="23"/>
              <w:bidi w:val="0"/>
              <w:rPr>
                <w:rFonts w:hint="default" w:ascii="Times New Roman" w:hAnsi="Times New Roman" w:cs="Times New Roman"/>
                <w:sz w:val="30"/>
                <w:szCs w:val="30"/>
              </w:rPr>
            </w:pPr>
            <w:r>
              <w:rPr>
                <w:rFonts w:hint="default" w:ascii="Times New Roman" w:hAnsi="Times New Roman" w:cs="Times New Roman"/>
                <w:sz w:val="30"/>
                <w:szCs w:val="30"/>
                <w:lang w:val="en-US" w:eastAsia="zh-CN"/>
              </w:rPr>
              <w:t>工业用地基准地价</w:t>
            </w:r>
          </w:p>
        </w:tc>
      </w:tr>
      <w:tr w14:paraId="7E5F8ADB">
        <w:tblPrEx>
          <w:tblCellMar>
            <w:top w:w="0" w:type="dxa"/>
            <w:left w:w="0" w:type="dxa"/>
            <w:bottom w:w="0" w:type="dxa"/>
            <w:right w:w="0" w:type="dxa"/>
          </w:tblCellMar>
        </w:tblPrEx>
        <w:trPr>
          <w:trHeight w:val="785" w:hRule="atLeast"/>
        </w:trPr>
        <w:tc>
          <w:tcPr>
            <w:tcW w:w="825"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436677B8">
            <w:pPr>
              <w:pStyle w:val="23"/>
              <w:bidi w:val="0"/>
              <w:rPr>
                <w:rFonts w:hint="default" w:ascii="Times New Roman" w:hAnsi="Times New Roman" w:cs="Times New Roman"/>
                <w:sz w:val="30"/>
                <w:szCs w:val="30"/>
              </w:rPr>
            </w:pPr>
            <w:r>
              <w:rPr>
                <w:rFonts w:hint="default" w:ascii="Times New Roman" w:hAnsi="Times New Roman" w:cs="Times New Roman"/>
                <w:sz w:val="30"/>
                <w:szCs w:val="30"/>
                <w:lang w:val="en-US" w:eastAsia="zh-CN"/>
              </w:rPr>
              <w:t>Ⅰ</w:t>
            </w:r>
          </w:p>
        </w:tc>
        <w:tc>
          <w:tcPr>
            <w:tcW w:w="1559"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6E57D649">
            <w:pPr>
              <w:pStyle w:val="23"/>
              <w:bidi w:val="0"/>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308</w:t>
            </w:r>
          </w:p>
        </w:tc>
        <w:tc>
          <w:tcPr>
            <w:tcW w:w="1247"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54057153">
            <w:pPr>
              <w:pStyle w:val="23"/>
              <w:bidi w:val="0"/>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265</w:t>
            </w:r>
          </w:p>
        </w:tc>
        <w:tc>
          <w:tcPr>
            <w:tcW w:w="1367" w:type="pct"/>
            <w:vMerge w:val="restart"/>
            <w:tcBorders>
              <w:top w:val="single" w:color="000000" w:sz="4" w:space="0"/>
              <w:left w:val="single" w:color="000000" w:sz="4" w:space="0"/>
              <w:right w:val="single" w:color="000000" w:sz="4" w:space="0"/>
            </w:tcBorders>
            <w:noWrap w:val="0"/>
            <w:tcMar>
              <w:top w:w="8" w:type="dxa"/>
              <w:left w:w="8" w:type="dxa"/>
              <w:right w:w="8" w:type="dxa"/>
            </w:tcMar>
            <w:vAlign w:val="center"/>
          </w:tcPr>
          <w:p w14:paraId="7B51E995">
            <w:pPr>
              <w:pStyle w:val="23"/>
              <w:bidi w:val="0"/>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107</w:t>
            </w:r>
          </w:p>
        </w:tc>
      </w:tr>
      <w:tr w14:paraId="552900B8">
        <w:tblPrEx>
          <w:tblCellMar>
            <w:top w:w="0" w:type="dxa"/>
            <w:left w:w="0" w:type="dxa"/>
            <w:bottom w:w="0" w:type="dxa"/>
            <w:right w:w="0" w:type="dxa"/>
          </w:tblCellMar>
        </w:tblPrEx>
        <w:trPr>
          <w:trHeight w:val="881" w:hRule="atLeast"/>
        </w:trPr>
        <w:tc>
          <w:tcPr>
            <w:tcW w:w="825"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0D0936F4">
            <w:pPr>
              <w:pStyle w:val="23"/>
              <w:bidi w:val="0"/>
              <w:rPr>
                <w:rFonts w:hint="default" w:ascii="Times New Roman" w:hAnsi="Times New Roman" w:cs="Times New Roman"/>
                <w:sz w:val="30"/>
                <w:szCs w:val="30"/>
              </w:rPr>
            </w:pPr>
            <w:r>
              <w:rPr>
                <w:rFonts w:hint="default" w:ascii="Times New Roman" w:hAnsi="Times New Roman" w:cs="Times New Roman"/>
                <w:sz w:val="30"/>
                <w:szCs w:val="30"/>
                <w:lang w:val="en-US" w:eastAsia="zh-CN"/>
              </w:rPr>
              <w:t>Ⅱ</w:t>
            </w:r>
          </w:p>
        </w:tc>
        <w:tc>
          <w:tcPr>
            <w:tcW w:w="1559"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3FD072EC">
            <w:pPr>
              <w:pStyle w:val="23"/>
              <w:bidi w:val="0"/>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258</w:t>
            </w:r>
          </w:p>
        </w:tc>
        <w:tc>
          <w:tcPr>
            <w:tcW w:w="1247"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53DBD3C8">
            <w:pPr>
              <w:pStyle w:val="23"/>
              <w:bidi w:val="0"/>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217</w:t>
            </w:r>
          </w:p>
        </w:tc>
        <w:tc>
          <w:tcPr>
            <w:tcW w:w="1367" w:type="pct"/>
            <w:vMerge w:val="continue"/>
            <w:tcBorders>
              <w:left w:val="single" w:color="000000" w:sz="4" w:space="0"/>
              <w:right w:val="single" w:color="000000" w:sz="4" w:space="0"/>
            </w:tcBorders>
            <w:noWrap w:val="0"/>
            <w:tcMar>
              <w:top w:w="8" w:type="dxa"/>
              <w:left w:w="8" w:type="dxa"/>
              <w:right w:w="8" w:type="dxa"/>
            </w:tcMar>
            <w:vAlign w:val="center"/>
          </w:tcPr>
          <w:p w14:paraId="02420E07">
            <w:pPr>
              <w:pStyle w:val="23"/>
              <w:bidi w:val="0"/>
              <w:rPr>
                <w:rFonts w:hint="default" w:ascii="Times New Roman" w:hAnsi="Times New Roman" w:cs="Times New Roman"/>
                <w:sz w:val="30"/>
                <w:szCs w:val="30"/>
              </w:rPr>
            </w:pPr>
          </w:p>
        </w:tc>
      </w:tr>
      <w:tr w14:paraId="7F50199E">
        <w:tblPrEx>
          <w:tblCellMar>
            <w:top w:w="0" w:type="dxa"/>
            <w:left w:w="0" w:type="dxa"/>
            <w:bottom w:w="0" w:type="dxa"/>
            <w:right w:w="0" w:type="dxa"/>
          </w:tblCellMar>
        </w:tblPrEx>
        <w:trPr>
          <w:trHeight w:val="894" w:hRule="atLeast"/>
        </w:trPr>
        <w:tc>
          <w:tcPr>
            <w:tcW w:w="825"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4A2994EF">
            <w:pPr>
              <w:pStyle w:val="23"/>
              <w:bidi w:val="0"/>
              <w:rPr>
                <w:rFonts w:hint="default" w:ascii="Times New Roman" w:hAnsi="Times New Roman" w:cs="Times New Roman"/>
                <w:sz w:val="30"/>
                <w:szCs w:val="30"/>
                <w:lang w:val="en-US" w:eastAsia="zh-CN"/>
              </w:rPr>
            </w:pPr>
            <w:r>
              <w:rPr>
                <w:rFonts w:hint="default" w:ascii="Times New Roman" w:hAnsi="Times New Roman" w:cs="Times New Roman"/>
                <w:sz w:val="30"/>
                <w:szCs w:val="30"/>
              </w:rPr>
              <w:t>Ⅲ</w:t>
            </w:r>
          </w:p>
        </w:tc>
        <w:tc>
          <w:tcPr>
            <w:tcW w:w="1559"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6FA41A17">
            <w:pPr>
              <w:pStyle w:val="23"/>
              <w:bidi w:val="0"/>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219</w:t>
            </w:r>
          </w:p>
        </w:tc>
        <w:tc>
          <w:tcPr>
            <w:tcW w:w="1247" w:type="pct"/>
            <w:tcBorders>
              <w:top w:val="single" w:color="000000" w:sz="4" w:space="0"/>
              <w:left w:val="single" w:color="000000" w:sz="4" w:space="0"/>
              <w:bottom w:val="single" w:color="000000" w:sz="4" w:space="0"/>
              <w:right w:val="single" w:color="000000" w:sz="4" w:space="0"/>
            </w:tcBorders>
            <w:noWrap/>
            <w:tcMar>
              <w:top w:w="8" w:type="dxa"/>
              <w:left w:w="8" w:type="dxa"/>
              <w:right w:w="8" w:type="dxa"/>
            </w:tcMar>
            <w:vAlign w:val="center"/>
          </w:tcPr>
          <w:p w14:paraId="566FA9DF">
            <w:pPr>
              <w:pStyle w:val="23"/>
              <w:bidi w:val="0"/>
              <w:rPr>
                <w:rFonts w:hint="default" w:ascii="Times New Roman" w:hAnsi="Times New Roman" w:cs="Times New Roman"/>
                <w:sz w:val="30"/>
                <w:szCs w:val="30"/>
                <w:lang w:val="en-US" w:eastAsia="zh-CN"/>
              </w:rPr>
            </w:pPr>
            <w:r>
              <w:rPr>
                <w:rFonts w:hint="default" w:ascii="Times New Roman" w:hAnsi="Times New Roman" w:cs="Times New Roman"/>
                <w:sz w:val="30"/>
                <w:szCs w:val="30"/>
                <w:lang w:val="en-US" w:eastAsia="zh-CN"/>
              </w:rPr>
              <w:t>188</w:t>
            </w:r>
          </w:p>
        </w:tc>
        <w:tc>
          <w:tcPr>
            <w:tcW w:w="1367" w:type="pct"/>
            <w:vMerge w:val="continue"/>
            <w:tcBorders>
              <w:left w:val="single" w:color="000000" w:sz="4" w:space="0"/>
              <w:bottom w:val="single" w:color="000000" w:sz="4" w:space="0"/>
              <w:right w:val="single" w:color="000000" w:sz="4" w:space="0"/>
            </w:tcBorders>
            <w:noWrap w:val="0"/>
            <w:tcMar>
              <w:top w:w="8" w:type="dxa"/>
              <w:left w:w="8" w:type="dxa"/>
              <w:right w:w="8" w:type="dxa"/>
            </w:tcMar>
            <w:vAlign w:val="center"/>
          </w:tcPr>
          <w:p w14:paraId="34808845">
            <w:pPr>
              <w:pStyle w:val="23"/>
              <w:bidi w:val="0"/>
              <w:rPr>
                <w:rFonts w:hint="default" w:ascii="Times New Roman" w:hAnsi="Times New Roman" w:cs="Times New Roman"/>
                <w:sz w:val="30"/>
                <w:szCs w:val="30"/>
              </w:rPr>
            </w:pPr>
          </w:p>
        </w:tc>
      </w:tr>
    </w:tbl>
    <w:p w14:paraId="37A7D8DC">
      <w:pPr>
        <w:pStyle w:val="11"/>
        <w:bidi w:val="0"/>
        <w:rPr>
          <w:rFonts w:hint="default"/>
          <w:lang w:val="en-US" w:eastAsia="zh-CN"/>
        </w:rPr>
      </w:pPr>
      <mc:AlternateContent>
        <mc:Choice Requires="wpsCustomData">
          <wpsCustomData:docfieldStart id="5" docfieldname="抄送_key_1" docfieldparentname="主体" hidden="0" print="1" readonly="0" index="47"/>
        </mc:Choice>
      </mc:AlternateContent>
      <mc:AlternateContent>
        <mc:Choice Requires="wpsCustomData">
          <wpsCustomData:docfieldEnd id="5"/>
        </mc:Choice>
      </mc:AlternateContent>
      <mc:AlternateContent>
        <mc:Choice Requires="wpsCustomData">
          <wpsCustomData:docfieldStart id="6" docfieldname="印发机关_1" hidden="0" print="1" readonly="0" index="19"/>
        </mc:Choice>
      </mc:AlternateContent>
      <mc:AlternateContent>
        <mc:Choice Requires="wpsCustomData">
          <wpsCustomData:docfieldEnd id="6"/>
        </mc:Choice>
      </mc:AlternateContent>
    </w:p>
    <w:sectPr>
      <w:pgSz w:w="11906" w:h="16838"/>
      <w:pgMar w:top="2098" w:right="1474" w:bottom="1984" w:left="1587" w:header="851" w:footer="1417"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696B0E"/>
    <w:rsid w:val="069E72FD"/>
    <w:rsid w:val="093801C2"/>
    <w:rsid w:val="0C696B0E"/>
    <w:rsid w:val="183A4F69"/>
    <w:rsid w:val="24FD39D9"/>
    <w:rsid w:val="284E59A3"/>
    <w:rsid w:val="2A4E2101"/>
    <w:rsid w:val="2D050029"/>
    <w:rsid w:val="307849BD"/>
    <w:rsid w:val="31693D58"/>
    <w:rsid w:val="33D72BCA"/>
    <w:rsid w:val="39777D3F"/>
    <w:rsid w:val="49AC3089"/>
    <w:rsid w:val="4E2670A7"/>
    <w:rsid w:val="5A236FC9"/>
    <w:rsid w:val="5E69060F"/>
    <w:rsid w:val="6BEF6790"/>
    <w:rsid w:val="7A905611"/>
    <w:rsid w:val="7DBA0403"/>
    <w:rsid w:val="7E0B2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autoSpaceDE/>
      <w:autoSpaceDN/>
      <w:adjustRightInd w:val="0"/>
      <w:snapToGrid w:val="0"/>
      <w:spacing w:line="560" w:lineRule="exact"/>
      <w:ind w:firstLine="560" w:firstLineChars="200"/>
      <w:jc w:val="both"/>
      <w:textAlignment w:val="baseline"/>
    </w:pPr>
    <w:rPr>
      <w:rFonts w:ascii="Times New Roman" w:hAnsi="Times New Roman" w:eastAsia="仿宋_GB2312" w:cs="Times New Roman"/>
      <w:snapToGrid w:val="0"/>
      <w:color w:val="000000"/>
      <w:kern w:val="0"/>
      <w:sz w:val="28"/>
      <w:szCs w:val="21"/>
      <w:lang w:val="en-US" w:eastAsia="en-US"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8">
    <w:name w:val="标题 3 Char"/>
    <w:qFormat/>
    <w:uiPriority w:val="0"/>
    <w:rPr>
      <w:rFonts w:eastAsia="方正小标宋简体" w:cs="Times New Roman"/>
      <w:sz w:val="30"/>
      <w:szCs w:val="32"/>
    </w:rPr>
  </w:style>
  <w:style w:type="paragraph" w:customStyle="1" w:styleId="19">
    <w:name w:val="表头"/>
    <w:basedOn w:val="1"/>
    <w:link w:val="20"/>
    <w:qFormat/>
    <w:uiPriority w:val="0"/>
    <w:pPr>
      <w:ind w:firstLine="0" w:firstLineChars="0"/>
      <w:jc w:val="center"/>
    </w:pPr>
    <w:rPr>
      <w:rFonts w:hint="eastAsia" w:ascii="Times New Roman" w:hAnsi="Times New Roman"/>
      <w:sz w:val="24"/>
      <w:szCs w:val="28"/>
      <w:lang w:eastAsia="zh-CN"/>
    </w:rPr>
  </w:style>
  <w:style w:type="character" w:customStyle="1" w:styleId="20">
    <w:name w:val="表头 Char"/>
    <w:link w:val="19"/>
    <w:qFormat/>
    <w:uiPriority w:val="0"/>
    <w:rPr>
      <w:rFonts w:hint="eastAsia" w:ascii="Times New Roman" w:hAnsi="Times New Roman" w:eastAsia="仿宋_GB2312" w:cs="Times New Roman"/>
      <w:sz w:val="24"/>
      <w:szCs w:val="28"/>
      <w:lang w:eastAsia="zh-CN"/>
    </w:rPr>
  </w:style>
  <w:style w:type="paragraph" w:customStyle="1" w:styleId="21">
    <w:name w:val="Table Text"/>
    <w:basedOn w:val="1"/>
    <w:semiHidden/>
    <w:qFormat/>
    <w:uiPriority w:val="0"/>
    <w:rPr>
      <w:rFonts w:ascii="Arial" w:hAnsi="Arial" w:eastAsia="Arial" w:cs="Arial"/>
      <w:sz w:val="21"/>
      <w:szCs w:val="21"/>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表格内容"/>
    <w:basedOn w:val="1"/>
    <w:next w:val="1"/>
    <w:qFormat/>
    <w:uiPriority w:val="0"/>
    <w:pPr>
      <w:suppressLineNumbers w:val="0"/>
      <w:tabs>
        <w:tab w:val="left" w:pos="358"/>
      </w:tabs>
      <w:suppressAutoHyphens w:val="0"/>
      <w:topLinePunct w:val="0"/>
      <w:adjustRightInd/>
      <w:snapToGrid w:val="0"/>
      <w:spacing w:line="240" w:lineRule="auto"/>
      <w:ind w:firstLine="0" w:firstLineChars="0"/>
      <w:jc w:val="center"/>
    </w:pPr>
    <w:rPr>
      <w:rFonts w:ascii="Times New Roman" w:hAnsi="Times New Roman" w:eastAsia="宋体"/>
      <w:snapToGrid w:val="0"/>
      <w:color w:val="000000"/>
      <w:kern w:val="21"/>
      <w:sz w:val="21"/>
      <w:szCs w:val="21"/>
    </w:rPr>
  </w:style>
  <w:style w:type="paragraph" w:customStyle="1" w:styleId="24">
    <w:name w:val="主送对象"/>
    <w:next w:val="1"/>
    <w:qFormat/>
    <w:uiPriority w:val="0"/>
    <w:pPr>
      <w:spacing w:line="560" w:lineRule="exact"/>
    </w:pPr>
    <w:rPr>
      <w:rFonts w:ascii="Times New Roman" w:hAnsi="Times New Roman" w:eastAsia="仿宋_GB2312" w:cs="仿宋_GB2312"/>
      <w:sz w:val="32"/>
      <w:szCs w:val="32"/>
    </w:rPr>
  </w:style>
  <w:style w:type="paragraph" w:customStyle="1" w:styleId="25">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843</Words>
  <Characters>868</Characters>
  <Lines>0</Lines>
  <Paragraphs>0</Paragraphs>
  <TotalTime>891</TotalTime>
  <ScaleCrop>false</ScaleCrop>
  <LinksUpToDate>false</LinksUpToDate>
  <CharactersWithSpaces>869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2026-05-28T08:23:00Z</dcterms:created>
  <dc:creator>大眼睛</dc:creator>
  <cp:lastModifiedBy>61只小驴</cp:lastModifiedBy>
  <dcterms:modified xsi:type="dcterms:W3CDTF">2026-08-27T07:51:03Z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054F546BE2D248F3882586EBD7B7E893_13</vt:lpwstr>
  </property>
  <property fmtid="{D5CDD505-2E9C-101B-9397-08002B2CF9AE}" pid="4" name="KSOTemplateDocerSaveRecord">
    <vt:lpwstr>eyJoZGlkIjoiNjlkY2ZmOWQwNjMxNDhlOGJhMjRlMTMxNDJhMjZkODQiLCJ1c2VySWQiOiIyMDk1OTkxMTMifQ==</vt:lpwstr>
  </property>
</Properties>
</file>