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eastAsia="仿宋_GB2312"/>
          <w:b/>
          <w:bCs/>
          <w:color w:val="444444"/>
          <w:kern w:val="0"/>
          <w:sz w:val="30"/>
          <w:szCs w:val="30"/>
        </w:rPr>
      </w:pPr>
      <w:r>
        <w:rPr>
          <w:rFonts w:eastAsia="仿宋_GB2312"/>
          <w:b/>
          <w:bCs/>
          <w:color w:val="444444"/>
          <w:kern w:val="0"/>
          <w:sz w:val="30"/>
          <w:szCs w:val="30"/>
        </w:rPr>
        <w:t>附件</w:t>
      </w:r>
      <w:r>
        <w:rPr>
          <w:rFonts w:hint="eastAsia" w:eastAsia="仿宋_GB2312"/>
          <w:b/>
          <w:bCs/>
          <w:color w:val="444444"/>
          <w:kern w:val="0"/>
          <w:sz w:val="30"/>
          <w:szCs w:val="30"/>
        </w:rPr>
        <w:t>4</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南岔县城镇国有土地级别范围</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bCs/>
          <w:color w:val="444444"/>
          <w:kern w:val="0"/>
          <w:sz w:val="30"/>
          <w:szCs w:val="30"/>
        </w:rPr>
      </w:pPr>
      <w:r>
        <w:rPr>
          <w:rFonts w:eastAsia="仿宋_GB2312"/>
          <w:b/>
          <w:bCs/>
          <w:color w:val="000000"/>
          <w:sz w:val="24"/>
          <w:szCs w:val="24"/>
        </w:rPr>
        <w:t xml:space="preserve">        </w:t>
      </w:r>
      <w:r>
        <w:rPr>
          <w:rFonts w:eastAsia="仿宋_GB2312"/>
          <w:b/>
          <w:bCs/>
          <w:color w:val="444444"/>
          <w:kern w:val="0"/>
          <w:sz w:val="30"/>
          <w:szCs w:val="30"/>
        </w:rPr>
        <w:t xml:space="preserve"> 表</w:t>
      </w:r>
      <w:r>
        <w:rPr>
          <w:rFonts w:hint="eastAsia" w:eastAsia="仿宋_GB2312"/>
          <w:b/>
          <w:bCs/>
          <w:color w:val="444444"/>
          <w:kern w:val="0"/>
          <w:sz w:val="30"/>
          <w:szCs w:val="30"/>
        </w:rPr>
        <w:t>8</w:t>
      </w:r>
      <w:r>
        <w:rPr>
          <w:rFonts w:eastAsia="仿宋_GB2312"/>
          <w:b/>
          <w:bCs/>
          <w:color w:val="444444"/>
          <w:kern w:val="0"/>
          <w:sz w:val="30"/>
          <w:szCs w:val="30"/>
        </w:rPr>
        <w:t xml:space="preserve"> </w:t>
      </w:r>
      <w:r>
        <w:rPr>
          <w:rFonts w:hint="eastAsia" w:eastAsia="仿宋_GB2312"/>
          <w:b/>
          <w:bCs/>
          <w:color w:val="444444"/>
          <w:kern w:val="0"/>
          <w:sz w:val="30"/>
          <w:szCs w:val="30"/>
        </w:rPr>
        <w:t xml:space="preserve"> 南岔县</w:t>
      </w:r>
      <w:r>
        <w:rPr>
          <w:rFonts w:eastAsia="仿宋_GB2312"/>
          <w:b/>
          <w:bCs/>
          <w:color w:val="444444"/>
          <w:kern w:val="0"/>
          <w:sz w:val="30"/>
          <w:szCs w:val="30"/>
        </w:rPr>
        <w:t>商服、住宅和公用服务用地级别范围表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5"/>
        <w:gridCol w:w="87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875"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eastAsia="仿宋_GB2312"/>
                <w:szCs w:val="21"/>
              </w:rPr>
              <w:t>级别</w:t>
            </w:r>
          </w:p>
        </w:tc>
        <w:tc>
          <w:tcPr>
            <w:tcW w:w="8726"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eastAsia="仿宋_GB2312"/>
                <w:szCs w:val="21"/>
              </w:rPr>
              <w:t>级   别   范   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875"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hint="eastAsia" w:eastAsia="仿宋_GB2312"/>
                <w:szCs w:val="21"/>
              </w:rPr>
              <w:t>Ⅰ</w:t>
            </w:r>
          </w:p>
        </w:tc>
        <w:tc>
          <w:tcPr>
            <w:tcW w:w="8726" w:type="dxa"/>
            <w:noWrap w:val="0"/>
            <w:vAlign w:val="center"/>
          </w:tcPr>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南岔镇（含迎春乡）</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szCs w:val="21"/>
              </w:rPr>
            </w:pPr>
            <w:r>
              <w:rPr>
                <w:rFonts w:hint="eastAsia" w:eastAsia="仿宋_GB2312"/>
                <w:szCs w:val="21"/>
              </w:rPr>
              <w:t>东以南乌线铁路线为边界至南岔团结委1</w:t>
            </w:r>
            <w:r>
              <w:rPr>
                <w:rFonts w:eastAsia="仿宋_GB2312"/>
                <w:szCs w:val="21"/>
              </w:rPr>
              <w:t>56</w:t>
            </w:r>
            <w:r>
              <w:rPr>
                <w:rFonts w:hint="eastAsia" w:eastAsia="仿宋_GB2312"/>
                <w:szCs w:val="21"/>
              </w:rPr>
              <w:t>号为拐点，南至铁路线、西以水解厂为边界以东区域向北侧兴林小区现有道路，北至建成区边缘、城林小区以南围合区域。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64" w:hRule="atLeast"/>
          <w:jc w:val="center"/>
        </w:trPr>
        <w:tc>
          <w:tcPr>
            <w:tcW w:w="875"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hint="eastAsia" w:eastAsia="仿宋_GB2312"/>
                <w:szCs w:val="21"/>
              </w:rPr>
              <w:t>Ⅱ</w:t>
            </w:r>
          </w:p>
        </w:tc>
        <w:tc>
          <w:tcPr>
            <w:tcW w:w="8726" w:type="dxa"/>
            <w:noWrap w:val="0"/>
            <w:vAlign w:val="center"/>
          </w:tcPr>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南岔镇（含迎春乡）</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szCs w:val="21"/>
              </w:rPr>
            </w:pPr>
            <w:r>
              <w:rPr>
                <w:rFonts w:hint="eastAsia" w:eastAsia="仿宋_GB2312"/>
                <w:szCs w:val="21"/>
              </w:rPr>
              <w:t>片区1：通天路东侧两侧至建设区边缘，南至城林小区用地范围北侧相邻两宗地，北至建成区边缘围合区域。</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szCs w:val="21"/>
              </w:rPr>
            </w:pPr>
            <w:r>
              <w:rPr>
                <w:rFonts w:hint="eastAsia" w:eastAsia="仿宋_GB2312"/>
                <w:szCs w:val="21"/>
              </w:rPr>
              <w:t>片区2：东北走向铁路线以南区域、东侧现有道路、北侧至南北走向铁路线围合以内的红星委居住区，东北走向铁路线以北曙光委居住区、南侧至建成区边缘，北侧至建成区边缘，西侧至曙光委最后一宗地围合区域。</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片区3：东侧以水解厂为边界沿现有道路向北至建成区边缘-向西至西水街林机委居住区-向南至文明委居住区-向南利民委居住区-向南外环路-向东铁路线与现有道路交叉口围合区域。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6" w:hRule="atLeast"/>
          <w:jc w:val="center"/>
        </w:trPr>
        <w:tc>
          <w:tcPr>
            <w:tcW w:w="875" w:type="dxa"/>
            <w:vMerge w:val="restart"/>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hint="eastAsia" w:eastAsia="仿宋_GB2312"/>
                <w:szCs w:val="21"/>
              </w:rPr>
              <w:t>Ⅲ</w:t>
            </w:r>
          </w:p>
        </w:tc>
        <w:tc>
          <w:tcPr>
            <w:tcW w:w="872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南岔镇（含迎春乡）</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片区1：南北走向铁路线以北区域、东侧沿结核医院外围向西沿居民区边缘处东升委居民区、东兴委居民区、东风委居民区、奋斗委居民区至现有道路、向北至铁路线围合区域。</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片区2：南至铁路线，北至建成区边缘，以爱国委、曙光委、黎明委居民区围合的区域。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875" w:type="dxa"/>
            <w:vMerge w:val="continue"/>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p>
        </w:tc>
        <w:tc>
          <w:tcPr>
            <w:tcW w:w="872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浩良河镇</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由通化路自西向东至锦山路交汇处，再向南至火车站前，由火车站前自东向西至如意路交汇处，再由如意路自南向北经化肥厂商业街至通化路交汇处所形成的闭合区域。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875" w:type="dxa"/>
            <w:vMerge w:val="restart"/>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hint="eastAsia" w:eastAsia="仿宋_GB2312"/>
                <w:szCs w:val="21"/>
              </w:rPr>
              <w:t>Ⅳ</w:t>
            </w:r>
          </w:p>
        </w:tc>
        <w:tc>
          <w:tcPr>
            <w:tcW w:w="8726" w:type="dxa"/>
            <w:tcBorders>
              <w:bottom w:val="single" w:color="auto" w:sz="4" w:space="0"/>
            </w:tcBorders>
            <w:noWrap w:val="0"/>
            <w:vAlign w:val="center"/>
          </w:tcPr>
          <w:p>
            <w:pPr>
              <w:keepNext w:val="0"/>
              <w:keepLines w:val="0"/>
              <w:pageBreakBefore w:val="0"/>
              <w:tabs>
                <w:tab w:val="left" w:pos="362"/>
                <w:tab w:val="left" w:pos="887"/>
              </w:tabs>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南岔镇（含迎春乡）</w:t>
            </w:r>
          </w:p>
          <w:p>
            <w:pPr>
              <w:keepNext w:val="0"/>
              <w:keepLines w:val="0"/>
              <w:pageBreakBefore w:val="0"/>
              <w:tabs>
                <w:tab w:val="left" w:pos="362"/>
                <w:tab w:val="left" w:pos="887"/>
              </w:tabs>
              <w:kinsoku/>
              <w:wordWrap/>
              <w:overflowPunct/>
              <w:topLinePunct w:val="0"/>
              <w:autoSpaceDE/>
              <w:autoSpaceDN/>
              <w:bidi w:val="0"/>
              <w:adjustRightInd/>
              <w:snapToGrid/>
              <w:spacing w:line="640" w:lineRule="exact"/>
              <w:textAlignment w:val="auto"/>
              <w:rPr>
                <w:rFonts w:eastAsia="仿宋_GB2312"/>
                <w:szCs w:val="21"/>
              </w:rPr>
            </w:pPr>
            <w:r>
              <w:rPr>
                <w:rFonts w:hint="eastAsia" w:eastAsia="仿宋_GB2312"/>
                <w:szCs w:val="21"/>
              </w:rPr>
              <w:t>除Ⅰ</w:t>
            </w:r>
            <w:r>
              <w:rPr>
                <w:rFonts w:eastAsia="仿宋_GB2312"/>
                <w:szCs w:val="21"/>
              </w:rPr>
              <w:t>、</w:t>
            </w:r>
            <w:r>
              <w:rPr>
                <w:rFonts w:hint="eastAsia" w:eastAsia="仿宋_GB2312"/>
                <w:szCs w:val="21"/>
              </w:rPr>
              <w:t>Ⅱ</w:t>
            </w:r>
            <w:r>
              <w:rPr>
                <w:rFonts w:eastAsia="仿宋_GB2312"/>
                <w:szCs w:val="21"/>
              </w:rPr>
              <w:t>、</w:t>
            </w:r>
            <w:r>
              <w:rPr>
                <w:rFonts w:hint="eastAsia" w:eastAsia="仿宋_GB2312"/>
                <w:szCs w:val="21"/>
              </w:rPr>
              <w:t>Ⅲ级地以外的土地利用总体规划确定的城镇可建设用地区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atLeast"/>
          <w:jc w:val="center"/>
        </w:trPr>
        <w:tc>
          <w:tcPr>
            <w:tcW w:w="875" w:type="dxa"/>
            <w:vMerge w:val="continue"/>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p>
        </w:tc>
        <w:tc>
          <w:tcPr>
            <w:tcW w:w="872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浩良河镇</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除Ⅲ级地以外的土地利用总体规划确定的城镇可建设用地区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atLeast"/>
          <w:jc w:val="center"/>
        </w:trPr>
        <w:tc>
          <w:tcPr>
            <w:tcW w:w="875" w:type="dxa"/>
            <w:vMerge w:val="continue"/>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p>
        </w:tc>
        <w:tc>
          <w:tcPr>
            <w:tcW w:w="872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晨明镇</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Cs w:val="21"/>
              </w:rPr>
            </w:pPr>
            <w:r>
              <w:rPr>
                <w:rFonts w:hint="eastAsia" w:eastAsia="仿宋_GB2312"/>
                <w:szCs w:val="21"/>
              </w:rPr>
              <w:t>镇内土地利用总体规划确定的全部城镇可建设用地区</w:t>
            </w:r>
          </w:p>
        </w:tc>
      </w:tr>
    </w:tbl>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bCs/>
          <w:color w:val="444444"/>
          <w:kern w:val="0"/>
          <w:sz w:val="30"/>
          <w:szCs w:val="30"/>
        </w:rPr>
      </w:pPr>
      <w:r>
        <w:rPr>
          <w:rFonts w:eastAsia="仿宋_GB2312"/>
          <w:szCs w:val="21"/>
        </w:rPr>
        <w:t xml:space="preserve">      </w:t>
      </w:r>
      <w:r>
        <w:rPr>
          <w:rFonts w:eastAsia="仿宋_GB2312"/>
          <w:b/>
          <w:bCs/>
          <w:color w:val="444444"/>
          <w:kern w:val="0"/>
          <w:sz w:val="30"/>
          <w:szCs w:val="30"/>
        </w:rPr>
        <w:t xml:space="preserve">  表</w:t>
      </w:r>
      <w:r>
        <w:rPr>
          <w:rFonts w:hint="eastAsia" w:eastAsia="仿宋_GB2312"/>
          <w:b/>
          <w:bCs/>
          <w:color w:val="444444"/>
          <w:kern w:val="0"/>
          <w:sz w:val="30"/>
          <w:szCs w:val="30"/>
        </w:rPr>
        <w:t>9</w:t>
      </w:r>
      <w:r>
        <w:rPr>
          <w:rFonts w:eastAsia="仿宋_GB2312"/>
          <w:b/>
          <w:bCs/>
          <w:color w:val="444444"/>
          <w:kern w:val="0"/>
          <w:sz w:val="30"/>
          <w:szCs w:val="30"/>
        </w:rPr>
        <w:t xml:space="preserve">  </w:t>
      </w:r>
      <w:r>
        <w:rPr>
          <w:rFonts w:hint="eastAsia" w:eastAsia="仿宋_GB2312"/>
          <w:b/>
          <w:bCs/>
          <w:color w:val="444444"/>
          <w:kern w:val="0"/>
          <w:sz w:val="30"/>
          <w:szCs w:val="30"/>
        </w:rPr>
        <w:t>南岔县</w:t>
      </w:r>
      <w:r>
        <w:rPr>
          <w:rFonts w:eastAsia="仿宋_GB2312"/>
          <w:b/>
          <w:bCs/>
          <w:color w:val="444444"/>
          <w:kern w:val="0"/>
          <w:sz w:val="30"/>
          <w:szCs w:val="30"/>
        </w:rPr>
        <w:t>工业用地、公用设施用地级别范围表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8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28"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eastAsia="仿宋_GB2312"/>
                <w:szCs w:val="21"/>
              </w:rPr>
              <w:t>级别</w:t>
            </w:r>
          </w:p>
        </w:tc>
        <w:tc>
          <w:tcPr>
            <w:tcW w:w="8704"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eastAsia="仿宋_GB2312"/>
                <w:szCs w:val="21"/>
              </w:rPr>
              <w:t>级   别   范   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28"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hint="eastAsia" w:eastAsia="仿宋_GB2312"/>
                <w:szCs w:val="21"/>
              </w:rPr>
              <w:t>Ⅰ</w:t>
            </w:r>
          </w:p>
        </w:tc>
        <w:tc>
          <w:tcPr>
            <w:tcW w:w="8704" w:type="dxa"/>
            <w:noWrap w:val="0"/>
            <w:vAlign w:val="center"/>
          </w:tcPr>
          <w:p>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eastAsia="仿宋_GB2312"/>
                <w:szCs w:val="21"/>
              </w:rPr>
            </w:pPr>
            <w:r>
              <w:rPr>
                <w:rFonts w:hint="eastAsia" w:eastAsia="仿宋_GB2312"/>
                <w:szCs w:val="21"/>
              </w:rPr>
              <w:t>南岔镇（含迎春乡）土地利用总体规划确定的城镇可建设用地区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28" w:type="dxa"/>
            <w:noWrap w:val="0"/>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eastAsia="仿宋_GB2312"/>
                <w:szCs w:val="21"/>
              </w:rPr>
            </w:pPr>
            <w:r>
              <w:rPr>
                <w:rFonts w:hint="eastAsia" w:eastAsia="仿宋_GB2312"/>
                <w:szCs w:val="21"/>
              </w:rPr>
              <w:t>Ⅱ</w:t>
            </w:r>
          </w:p>
        </w:tc>
        <w:tc>
          <w:tcPr>
            <w:tcW w:w="8704" w:type="dxa"/>
            <w:noWrap w:val="0"/>
            <w:vAlign w:val="center"/>
          </w:tcPr>
          <w:p>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eastAsia="仿宋_GB2312"/>
                <w:szCs w:val="21"/>
              </w:rPr>
            </w:pPr>
            <w:r>
              <w:rPr>
                <w:rFonts w:hint="eastAsia" w:eastAsia="仿宋_GB2312"/>
                <w:szCs w:val="21"/>
              </w:rPr>
              <w:t>浩良河镇和晨明镇土地利用总体规划确定的城镇可建设用地区</w:t>
            </w: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MzE1OGJiNmFmYzM3MzY4MDY3ODhkZjczYjNmNDEifQ=="/>
  </w:docVars>
  <w:rsids>
    <w:rsidRoot w:val="00000000"/>
    <w:rsid w:val="3517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eastAsia="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2023-02-02T01:59:30Z</dcterms:created>
  <dc:creator>Administrator</dc:creator>
  <cp:lastModifiedBy>孟庆武</cp:lastModifiedBy>
  <dcterms:modified xsi:type="dcterms:W3CDTF">2023-02-02T01:59:41Z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E9E1587448304DF2B2B4E470B8FF5C14</vt:lpwstr>
  </property>
</Properties>
</file>